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533"/>
        <w:gridCol w:w="5567"/>
      </w:tblGrid>
      <w:tr w:rsidR="00F754CA" w:rsidRPr="003F620A" w14:paraId="46C8CE68" w14:textId="77777777" w:rsidTr="003F620A">
        <w:tc>
          <w:tcPr>
            <w:tcW w:w="10779" w:type="dxa"/>
            <w:gridSpan w:val="4"/>
            <w:shd w:val="clear" w:color="auto" w:fill="8496B0" w:themeFill="text2" w:themeFillTint="99"/>
          </w:tcPr>
          <w:p w14:paraId="1657F117" w14:textId="7ADCB293" w:rsidR="00550E62" w:rsidRPr="003F620A" w:rsidRDefault="00550E62" w:rsidP="00F754CA">
            <w:pPr>
              <w:rPr>
                <w:rFonts w:ascii="Gadugi" w:hAnsi="Gadugi"/>
                <w:sz w:val="40"/>
                <w:szCs w:val="40"/>
              </w:rPr>
            </w:pPr>
            <w:r w:rsidRPr="003F620A">
              <w:rPr>
                <w:rFonts w:ascii="Gadugi" w:hAnsi="Gadugi"/>
                <w:b/>
                <w:bCs/>
                <w:sz w:val="40"/>
                <w:szCs w:val="40"/>
              </w:rPr>
              <w:t>PNB</w:t>
            </w:r>
            <w:r w:rsidRPr="003F620A">
              <w:rPr>
                <w:rStyle w:val="Strong"/>
                <w:rFonts w:ascii="Gadugi" w:hAnsi="Gadugi"/>
                <w:sz w:val="40"/>
                <w:szCs w:val="40"/>
              </w:rPr>
              <w:t>-</w:t>
            </w:r>
            <w:r w:rsidRPr="003F620A">
              <w:rPr>
                <w:rStyle w:val="Strong"/>
                <w:rFonts w:ascii="Gadugi" w:hAnsi="Gadugi"/>
                <w:sz w:val="40"/>
                <w:szCs w:val="40"/>
              </w:rPr>
              <w:t>IBJL Leasing and Finance Corporation</w:t>
            </w:r>
          </w:p>
        </w:tc>
      </w:tr>
      <w:tr w:rsidR="00F754CA" w:rsidRPr="003F620A" w14:paraId="6FDAD907" w14:textId="77777777" w:rsidTr="003F620A">
        <w:tc>
          <w:tcPr>
            <w:tcW w:w="10779" w:type="dxa"/>
            <w:gridSpan w:val="4"/>
            <w:shd w:val="clear" w:color="auto" w:fill="2F5496" w:themeFill="accent1" w:themeFillShade="BF"/>
          </w:tcPr>
          <w:p w14:paraId="4A6DC2E6" w14:textId="77777777" w:rsidR="00550E62" w:rsidRPr="003F620A" w:rsidRDefault="00550E62" w:rsidP="003F620A">
            <w:pPr>
              <w:rPr>
                <w:rFonts w:ascii="Gadugi" w:hAnsi="Gadugi"/>
                <w:sz w:val="16"/>
                <w:szCs w:val="16"/>
              </w:rPr>
            </w:pPr>
          </w:p>
        </w:tc>
      </w:tr>
      <w:tr w:rsidR="00F754CA" w:rsidRPr="003F620A" w14:paraId="6E779961" w14:textId="77777777" w:rsidTr="003F620A">
        <w:tc>
          <w:tcPr>
            <w:tcW w:w="10779" w:type="dxa"/>
            <w:gridSpan w:val="4"/>
            <w:shd w:val="clear" w:color="auto" w:fill="2F5496" w:themeFill="accent1" w:themeFillShade="BF"/>
          </w:tcPr>
          <w:p w14:paraId="23116C61" w14:textId="16577D5D" w:rsidR="00550E62" w:rsidRPr="003F620A" w:rsidRDefault="00550E62" w:rsidP="00F754CA">
            <w:pPr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EQUIP your business through PNB-IBJL Leasing! </w:t>
            </w:r>
          </w:p>
        </w:tc>
      </w:tr>
      <w:tr w:rsidR="00F754CA" w:rsidRPr="003F620A" w14:paraId="1170E48D" w14:textId="77777777" w:rsidTr="003F620A">
        <w:tc>
          <w:tcPr>
            <w:tcW w:w="10779" w:type="dxa"/>
            <w:gridSpan w:val="4"/>
            <w:shd w:val="clear" w:color="auto" w:fill="2F5496" w:themeFill="accent1" w:themeFillShade="BF"/>
          </w:tcPr>
          <w:p w14:paraId="7426D972" w14:textId="77777777" w:rsidR="00550E62" w:rsidRPr="003F620A" w:rsidRDefault="00550E62" w:rsidP="00F754CA">
            <w:pPr>
              <w:rPr>
                <w:rFonts w:ascii="Gadugi" w:hAnsi="Gadugi"/>
                <w:color w:val="FFFFFF" w:themeColor="background1"/>
                <w:sz w:val="16"/>
                <w:szCs w:val="16"/>
              </w:rPr>
            </w:pPr>
          </w:p>
        </w:tc>
      </w:tr>
      <w:tr w:rsidR="00F754CA" w:rsidRPr="003F620A" w14:paraId="224DFDA3" w14:textId="77777777" w:rsidTr="003F620A">
        <w:tc>
          <w:tcPr>
            <w:tcW w:w="10779" w:type="dxa"/>
            <w:gridSpan w:val="4"/>
            <w:shd w:val="clear" w:color="auto" w:fill="2F5496" w:themeFill="accent1" w:themeFillShade="BF"/>
          </w:tcPr>
          <w:p w14:paraId="05A4E767" w14:textId="0C57609D" w:rsidR="00550E62" w:rsidRPr="003F620A" w:rsidRDefault="00550E62" w:rsidP="003F620A">
            <w:p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A joint venture between one of th</w:t>
            </w:r>
            <w:bookmarkStart w:id="0" w:name="_GoBack"/>
            <w:bookmarkEnd w:id="0"/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e country's largest private universal banks, Philippine National  Bank (PNB) and one of Japan's top leasing and financing companies,  IBJ Leasing Co., Ltd. (IBJL), PNB-IBJL Leasing and Finance Corporation (PNB-IBJL) is in the forefront of financial leasing in the country today. </w:t>
            </w:r>
          </w:p>
        </w:tc>
      </w:tr>
      <w:tr w:rsidR="00F754CA" w:rsidRPr="003F620A" w14:paraId="7E4EB40A" w14:textId="77777777" w:rsidTr="003F620A">
        <w:tc>
          <w:tcPr>
            <w:tcW w:w="10779" w:type="dxa"/>
            <w:gridSpan w:val="4"/>
            <w:shd w:val="clear" w:color="auto" w:fill="2F5496" w:themeFill="accent1" w:themeFillShade="BF"/>
          </w:tcPr>
          <w:p w14:paraId="2253A787" w14:textId="77777777" w:rsidR="00550E62" w:rsidRPr="003F620A" w:rsidRDefault="00550E62" w:rsidP="00F754CA">
            <w:pPr>
              <w:rPr>
                <w:rFonts w:ascii="Gadugi" w:hAnsi="Gadugi"/>
                <w:color w:val="FFFFFF" w:themeColor="background1"/>
                <w:sz w:val="16"/>
                <w:szCs w:val="16"/>
              </w:rPr>
            </w:pPr>
          </w:p>
        </w:tc>
      </w:tr>
      <w:tr w:rsidR="00F754CA" w:rsidRPr="003F620A" w14:paraId="126E3A96" w14:textId="77777777" w:rsidTr="003F620A">
        <w:trPr>
          <w:trHeight w:val="900"/>
        </w:trPr>
        <w:tc>
          <w:tcPr>
            <w:tcW w:w="10779" w:type="dxa"/>
            <w:gridSpan w:val="4"/>
            <w:shd w:val="clear" w:color="auto" w:fill="2F5496" w:themeFill="accent1" w:themeFillShade="BF"/>
          </w:tcPr>
          <w:p w14:paraId="609D6D12" w14:textId="78F72C55" w:rsidR="00550E62" w:rsidRPr="003F620A" w:rsidRDefault="00550E62" w:rsidP="003F620A">
            <w:p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PNB-IBJL strives to make a difference by offering the</w:t>
            </w:r>
            <w:r w:rsidR="00D84386"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</w:t>
            </w: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following client-friendly products coupled with topnotch service delivery!</w:t>
            </w:r>
          </w:p>
        </w:tc>
      </w:tr>
      <w:tr w:rsidR="00F754CA" w:rsidRPr="00F754CA" w14:paraId="21452737" w14:textId="77777777" w:rsidTr="003F620A">
        <w:trPr>
          <w:trHeight w:val="20"/>
        </w:trPr>
        <w:tc>
          <w:tcPr>
            <w:tcW w:w="568" w:type="dxa"/>
            <w:shd w:val="clear" w:color="auto" w:fill="2F5496" w:themeFill="accent1" w:themeFillShade="BF"/>
            <w:vAlign w:val="center"/>
          </w:tcPr>
          <w:p w14:paraId="62C1C254" w14:textId="535C49EF" w:rsidR="00550E62" w:rsidRPr="003F620A" w:rsidRDefault="00550E62" w:rsidP="003F620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111" w:type="dxa"/>
            <w:shd w:val="clear" w:color="auto" w:fill="2F5496" w:themeFill="accent1" w:themeFillShade="BF"/>
          </w:tcPr>
          <w:p w14:paraId="3E48EA6E" w14:textId="77777777" w:rsidR="00550E62" w:rsidRPr="003F620A" w:rsidRDefault="00550E62" w:rsidP="003F620A">
            <w:p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Finance Lease   </w:t>
            </w:r>
          </w:p>
        </w:tc>
        <w:tc>
          <w:tcPr>
            <w:tcW w:w="533" w:type="dxa"/>
            <w:shd w:val="clear" w:color="auto" w:fill="2F5496" w:themeFill="accent1" w:themeFillShade="BF"/>
          </w:tcPr>
          <w:p w14:paraId="669E95EF" w14:textId="77777777" w:rsidR="00550E62" w:rsidRPr="003F620A" w:rsidRDefault="00550E62" w:rsidP="003F620A">
            <w:pPr>
              <w:pStyle w:val="ListParagraph"/>
              <w:numPr>
                <w:ilvl w:val="0"/>
                <w:numId w:val="9"/>
              </w:numPr>
              <w:ind w:hanging="720"/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567" w:type="dxa"/>
            <w:shd w:val="clear" w:color="auto" w:fill="2F5496" w:themeFill="accent1" w:themeFillShade="BF"/>
          </w:tcPr>
          <w:p w14:paraId="0E56569B" w14:textId="39936536" w:rsidR="00550E62" w:rsidRPr="003F620A" w:rsidRDefault="00550E62" w:rsidP="00F754CA">
            <w:pPr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Operating Lease </w:t>
            </w:r>
          </w:p>
        </w:tc>
      </w:tr>
      <w:tr w:rsidR="00F754CA" w:rsidRPr="00F754CA" w14:paraId="3FB79B49" w14:textId="77777777" w:rsidTr="003F620A">
        <w:trPr>
          <w:trHeight w:val="20"/>
        </w:trPr>
        <w:tc>
          <w:tcPr>
            <w:tcW w:w="568" w:type="dxa"/>
            <w:shd w:val="clear" w:color="auto" w:fill="2F5496" w:themeFill="accent1" w:themeFillShade="BF"/>
            <w:vAlign w:val="center"/>
          </w:tcPr>
          <w:p w14:paraId="74FE3794" w14:textId="40CE70F7" w:rsidR="00550E62" w:rsidRPr="003F620A" w:rsidRDefault="00550E62" w:rsidP="003F620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111" w:type="dxa"/>
            <w:shd w:val="clear" w:color="auto" w:fill="2F5496" w:themeFill="accent1" w:themeFillShade="BF"/>
          </w:tcPr>
          <w:p w14:paraId="57A7175C" w14:textId="77777777" w:rsidR="00550E62" w:rsidRPr="003F620A" w:rsidRDefault="00550E62" w:rsidP="003F620A">
            <w:p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Forex Leasing   </w:t>
            </w:r>
          </w:p>
        </w:tc>
        <w:tc>
          <w:tcPr>
            <w:tcW w:w="533" w:type="dxa"/>
            <w:shd w:val="clear" w:color="auto" w:fill="2F5496" w:themeFill="accent1" w:themeFillShade="BF"/>
          </w:tcPr>
          <w:p w14:paraId="06E486D0" w14:textId="77777777" w:rsidR="00550E62" w:rsidRPr="003F620A" w:rsidRDefault="00550E62" w:rsidP="003F620A">
            <w:pPr>
              <w:pStyle w:val="ListParagraph"/>
              <w:numPr>
                <w:ilvl w:val="0"/>
                <w:numId w:val="9"/>
              </w:numPr>
              <w:ind w:hanging="720"/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567" w:type="dxa"/>
            <w:shd w:val="clear" w:color="auto" w:fill="2F5496" w:themeFill="accent1" w:themeFillShade="BF"/>
          </w:tcPr>
          <w:p w14:paraId="40380228" w14:textId="6CEACDC2" w:rsidR="00550E62" w:rsidRPr="003F620A" w:rsidRDefault="00550E62" w:rsidP="00F754CA">
            <w:pPr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Receivable Discounting      </w:t>
            </w:r>
          </w:p>
        </w:tc>
      </w:tr>
      <w:tr w:rsidR="00F754CA" w:rsidRPr="00F754CA" w14:paraId="793B3B2B" w14:textId="77777777" w:rsidTr="003F620A">
        <w:trPr>
          <w:trHeight w:val="20"/>
        </w:trPr>
        <w:tc>
          <w:tcPr>
            <w:tcW w:w="568" w:type="dxa"/>
            <w:shd w:val="clear" w:color="auto" w:fill="2F5496" w:themeFill="accent1" w:themeFillShade="BF"/>
            <w:vAlign w:val="center"/>
          </w:tcPr>
          <w:p w14:paraId="01CD28CC" w14:textId="2380427A" w:rsidR="00550E62" w:rsidRPr="003F620A" w:rsidRDefault="00550E62" w:rsidP="003F620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111" w:type="dxa"/>
            <w:shd w:val="clear" w:color="auto" w:fill="2F5496" w:themeFill="accent1" w:themeFillShade="BF"/>
          </w:tcPr>
          <w:p w14:paraId="36A2D574" w14:textId="4251041C" w:rsidR="00550E62" w:rsidRPr="003F620A" w:rsidRDefault="00550E62" w:rsidP="003F620A">
            <w:pPr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Mort</w:t>
            </w:r>
            <w:r w:rsidR="005E4E38"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g</w:t>
            </w: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>age Loans  </w:t>
            </w:r>
          </w:p>
        </w:tc>
        <w:tc>
          <w:tcPr>
            <w:tcW w:w="533" w:type="dxa"/>
            <w:shd w:val="clear" w:color="auto" w:fill="2F5496" w:themeFill="accent1" w:themeFillShade="BF"/>
          </w:tcPr>
          <w:p w14:paraId="175C8B58" w14:textId="77777777" w:rsidR="00550E62" w:rsidRPr="003F620A" w:rsidRDefault="00550E62" w:rsidP="003F620A">
            <w:pPr>
              <w:pStyle w:val="ListParagraph"/>
              <w:numPr>
                <w:ilvl w:val="0"/>
                <w:numId w:val="9"/>
              </w:numPr>
              <w:ind w:hanging="720"/>
              <w:jc w:val="both"/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567" w:type="dxa"/>
            <w:shd w:val="clear" w:color="auto" w:fill="2F5496" w:themeFill="accent1" w:themeFillShade="BF"/>
          </w:tcPr>
          <w:p w14:paraId="1FE39797" w14:textId="08148C71" w:rsidR="00550E62" w:rsidRPr="003F620A" w:rsidRDefault="00550E62" w:rsidP="00F754CA">
            <w:pPr>
              <w:rPr>
                <w:rFonts w:ascii="Gadugi" w:hAnsi="Gadugi"/>
                <w:color w:val="FFFFFF" w:themeColor="background1"/>
                <w:sz w:val="40"/>
                <w:szCs w:val="40"/>
              </w:rPr>
            </w:pPr>
            <w:r w:rsidRPr="003F620A">
              <w:rPr>
                <w:rFonts w:ascii="Gadugi" w:hAnsi="Gadugi"/>
                <w:color w:val="FFFFFF" w:themeColor="background1"/>
                <w:sz w:val="40"/>
                <w:szCs w:val="40"/>
              </w:rPr>
              <w:t xml:space="preserve"> Installment Paper Purchased</w:t>
            </w:r>
          </w:p>
        </w:tc>
      </w:tr>
    </w:tbl>
    <w:p w14:paraId="768AD2FE" w14:textId="77777777" w:rsidR="00843FD8" w:rsidRPr="00F754CA" w:rsidRDefault="003F620A" w:rsidP="00550E62">
      <w:pPr>
        <w:ind w:right="713"/>
      </w:pPr>
    </w:p>
    <w:sectPr w:rsidR="00843FD8" w:rsidRPr="00F75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763"/>
    <w:multiLevelType w:val="hybridMultilevel"/>
    <w:tmpl w:val="CB28534A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E01FB"/>
    <w:multiLevelType w:val="hybridMultilevel"/>
    <w:tmpl w:val="52C231E4"/>
    <w:lvl w:ilvl="0" w:tplc="315CE53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38C"/>
    <w:multiLevelType w:val="hybridMultilevel"/>
    <w:tmpl w:val="78724D3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A163D"/>
    <w:multiLevelType w:val="hybridMultilevel"/>
    <w:tmpl w:val="9ACAD26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C5F20"/>
    <w:multiLevelType w:val="hybridMultilevel"/>
    <w:tmpl w:val="3E304CD0"/>
    <w:lvl w:ilvl="0" w:tplc="34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49800908"/>
    <w:multiLevelType w:val="hybridMultilevel"/>
    <w:tmpl w:val="2C261B4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959D4"/>
    <w:multiLevelType w:val="hybridMultilevel"/>
    <w:tmpl w:val="E7740F6C"/>
    <w:lvl w:ilvl="0" w:tplc="315CE530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74536"/>
    <w:multiLevelType w:val="hybridMultilevel"/>
    <w:tmpl w:val="5F42F9A0"/>
    <w:lvl w:ilvl="0" w:tplc="3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F42153F"/>
    <w:multiLevelType w:val="hybridMultilevel"/>
    <w:tmpl w:val="85743C1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62"/>
    <w:rsid w:val="003F620A"/>
    <w:rsid w:val="00550E62"/>
    <w:rsid w:val="005E4E38"/>
    <w:rsid w:val="0068621B"/>
    <w:rsid w:val="00777C36"/>
    <w:rsid w:val="00D84386"/>
    <w:rsid w:val="00F754CA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DDDA8"/>
  <w15:chartTrackingRefBased/>
  <w15:docId w15:val="{4196E29A-B4FC-4880-B5E9-77968381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550E62"/>
    <w:rPr>
      <w:b/>
      <w:bCs/>
    </w:rPr>
  </w:style>
  <w:style w:type="table" w:styleId="TableGrid">
    <w:name w:val="Table Grid"/>
    <w:basedOn w:val="TableNormal"/>
    <w:uiPriority w:val="39"/>
    <w:rsid w:val="0055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ADA8-42B0-4383-8E95-AEA2C672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De La Rosa</dc:creator>
  <cp:keywords/>
  <dc:description/>
  <cp:lastModifiedBy>Romy De La Rosa</cp:lastModifiedBy>
  <cp:revision>2</cp:revision>
  <dcterms:created xsi:type="dcterms:W3CDTF">2019-08-13T06:31:00Z</dcterms:created>
  <dcterms:modified xsi:type="dcterms:W3CDTF">2019-08-13T06:31:00Z</dcterms:modified>
</cp:coreProperties>
</file>